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25 172 vom 12. November 2025</w:t>
      </w:r>
    </w:p>
    <w:p>
      <w:r>
        <w:t>VS Kantonsgericht, 2025-11-12, DE</w:t>
      </w:r>
    </w:p>
    <w:p>
      <w:r>
        <w:rPr>
          <w:b/>
        </w:rPr>
        <w:t xml:space="preserve">Quelle: </w:t>
      </w:r>
      <w:r>
        <w:t>https://mcp.opencaselaw.ch/entscheid/vs_gerichte_C1 25 172</w:t>
      </w:r>
    </w:p>
    <w:p>
      <w:r>
        <w:t>FR: VS_GERICHTE C1 25 172 du 12 novembre 2025</w:t>
      </w:r>
    </w:p>
    <w:p>
      <w:r>
        <w:t>IT: VS_GERICHTE C1 25 172 del 12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Entscheid der Kindes- und Erwachsenenschutzbehörde von Leuk und Westlich-Raron vom 05.08.2025 (MB/2023-1417-KS) sei aufzuheben und das Verfahren an die KESB Leuk und West- lich-Raron zur Neubeurteilung im Sinne der Erwägungen zurückzuweisen.</w:t>
      </w:r>
    </w:p>
    <w:p>
      <w:r>
        <w:rPr>
          <w:b/>
        </w:rPr>
        <w:t>E. 2</w:t>
      </w:r>
    </w:p>
    <w:p>
      <w:r>
        <w:t>Die Gerichtskosten des vorliegenden Verfahrens von Fr. 200.00 werden Y _________ auferlegt.</w:t>
      </w:r>
    </w:p>
    <w:p>
      <w:r>
        <w:rPr>
          <w:b/>
        </w:rPr>
        <w:t>E. 3</w:t>
      </w:r>
    </w:p>
    <w:p>
      <w:r>
        <w:t>Y _________ schuldet X _________ eine Parteientschädigung von Fr. 800.00. Sitten, 12. November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